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F6826" w14:textId="77777777" w:rsidR="007D38E1" w:rsidRPr="00AB5961" w:rsidRDefault="007D38E1" w:rsidP="007D38E1">
      <w:pPr>
        <w:pStyle w:val="Citationintense"/>
        <w:rPr>
          <w:sz w:val="30"/>
          <w:szCs w:val="30"/>
        </w:rPr>
      </w:pPr>
      <w:r w:rsidRPr="00AB5961">
        <w:rPr>
          <w:sz w:val="30"/>
          <w:szCs w:val="30"/>
        </w:rPr>
        <w:t>SPORT EN ALTITUDE OU PLONGEE</w:t>
      </w:r>
    </w:p>
    <w:p w14:paraId="55FB3C7D" w14:textId="77777777" w:rsidR="007D38E1" w:rsidRPr="00AB5961" w:rsidRDefault="007D38E1" w:rsidP="007D38E1">
      <w:pPr>
        <w:autoSpaceDE w:val="0"/>
        <w:autoSpaceDN w:val="0"/>
        <w:adjustRightInd w:val="0"/>
        <w:spacing w:after="0" w:line="240" w:lineRule="auto"/>
        <w:jc w:val="both"/>
        <w:rPr>
          <w:rFonts w:cs="Helvetica-BoldOblique"/>
          <w:b/>
          <w:bCs/>
          <w:i/>
          <w:iCs/>
          <w:color w:val="1A1A1A"/>
          <w:sz w:val="24"/>
          <w:szCs w:val="24"/>
        </w:rPr>
      </w:pPr>
      <w:r w:rsidRPr="00AB5961">
        <w:rPr>
          <w:rFonts w:cs="Helvetica-BoldOblique"/>
          <w:b/>
          <w:bCs/>
          <w:i/>
          <w:iCs/>
          <w:color w:val="1A1A1A"/>
          <w:sz w:val="24"/>
          <w:szCs w:val="24"/>
        </w:rPr>
        <w:t>Altitude et montagne</w:t>
      </w:r>
    </w:p>
    <w:p w14:paraId="224C7A94" w14:textId="77777777" w:rsidR="007D38E1" w:rsidRPr="00AB5961" w:rsidRDefault="007D38E1" w:rsidP="007D38E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Les personnes atteintes de diabète de type 1 peuvent aller en haute montagne à condition d'être bien préparées. En dessous de 2000m, l’altitude est généralement bien supportée. Il est important de se préparer avec l’aide de votre médecin, de façon minutieuse, si vous souhaitez aller en haute montagne.</w:t>
      </w:r>
    </w:p>
    <w:p w14:paraId="6B073A35" w14:textId="77777777" w:rsidR="007D38E1" w:rsidRPr="00AB5961" w:rsidRDefault="007D38E1" w:rsidP="007D38E1">
      <w:pPr>
        <w:autoSpaceDE w:val="0"/>
        <w:autoSpaceDN w:val="0"/>
        <w:adjustRightInd w:val="0"/>
        <w:spacing w:after="0" w:line="240" w:lineRule="auto"/>
        <w:jc w:val="both"/>
        <w:rPr>
          <w:rFonts w:cs="Helvetica-Bold"/>
          <w:b/>
          <w:bCs/>
          <w:color w:val="1A1A1A"/>
          <w:sz w:val="24"/>
          <w:szCs w:val="24"/>
        </w:rPr>
      </w:pPr>
    </w:p>
    <w:p w14:paraId="0F50F72C" w14:textId="77777777" w:rsidR="007D38E1" w:rsidRPr="00AB5961" w:rsidRDefault="007D38E1" w:rsidP="007D38E1">
      <w:pPr>
        <w:autoSpaceDE w:val="0"/>
        <w:autoSpaceDN w:val="0"/>
        <w:adjustRightInd w:val="0"/>
        <w:spacing w:after="0" w:line="240" w:lineRule="auto"/>
        <w:jc w:val="center"/>
        <w:rPr>
          <w:rFonts w:cs="Helvetica-Bold"/>
          <w:b/>
          <w:bCs/>
          <w:color w:val="1A1A1A"/>
          <w:sz w:val="24"/>
          <w:szCs w:val="24"/>
        </w:rPr>
      </w:pPr>
      <w:r w:rsidRPr="00AB5961">
        <w:rPr>
          <w:rFonts w:cs="Helvetica-Bold"/>
          <w:b/>
          <w:bCs/>
          <w:color w:val="1A1A1A"/>
          <w:sz w:val="24"/>
          <w:szCs w:val="24"/>
        </w:rPr>
        <w:t>NOUS RECOMMANDONS</w:t>
      </w:r>
    </w:p>
    <w:p w14:paraId="30270676" w14:textId="77777777" w:rsidR="007D38E1" w:rsidRPr="00AB5961" w:rsidRDefault="007D38E1" w:rsidP="007D38E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de conserver le matériel à l'abri du froid (insuline, lecteur de glycémie et bandelettes, glucagon</w:t>
      </w:r>
      <w:proofErr w:type="gramStart"/>
      <w:r w:rsidRPr="00AB5961">
        <w:rPr>
          <w:rFonts w:cs="Helvetica-Bold"/>
          <w:bCs/>
          <w:color w:val="1A1A1A"/>
          <w:sz w:val="24"/>
          <w:szCs w:val="24"/>
        </w:rPr>
        <w:t>);</w:t>
      </w:r>
      <w:proofErr w:type="gramEnd"/>
    </w:p>
    <w:p w14:paraId="642FAE8A" w14:textId="77777777" w:rsidR="007D38E1" w:rsidRPr="00AB5961" w:rsidRDefault="007D38E1" w:rsidP="007D38E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 xml:space="preserve">d’être vigilant face aux résultats donnés par le </w:t>
      </w:r>
      <w:proofErr w:type="gramStart"/>
      <w:r w:rsidRPr="00AB5961">
        <w:rPr>
          <w:rFonts w:cs="Helvetica-Bold"/>
          <w:bCs/>
          <w:color w:val="1A1A1A"/>
          <w:sz w:val="24"/>
          <w:szCs w:val="24"/>
        </w:rPr>
        <w:t>glucomètre;</w:t>
      </w:r>
      <w:proofErr w:type="gramEnd"/>
    </w:p>
    <w:p w14:paraId="1447BD86" w14:textId="77777777" w:rsidR="007D38E1" w:rsidRPr="00AB5961" w:rsidRDefault="007D38E1" w:rsidP="007D38E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de rester prudent avec les doses d’insuline rapide (pour éviter les hypoglycémies</w:t>
      </w:r>
      <w:proofErr w:type="gramStart"/>
      <w:r w:rsidRPr="00AB5961">
        <w:rPr>
          <w:rFonts w:cs="Helvetica-Bold"/>
          <w:bCs/>
          <w:color w:val="1A1A1A"/>
          <w:sz w:val="24"/>
          <w:szCs w:val="24"/>
        </w:rPr>
        <w:t>);</w:t>
      </w:r>
      <w:proofErr w:type="gramEnd"/>
    </w:p>
    <w:p w14:paraId="1F3E8BE8" w14:textId="77777777" w:rsidR="007D38E1" w:rsidRPr="00AB5961" w:rsidRDefault="007D38E1" w:rsidP="007D38E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 xml:space="preserve">d’accepter des glycémies modérément </w:t>
      </w:r>
      <w:proofErr w:type="gramStart"/>
      <w:r w:rsidRPr="00AB5961">
        <w:rPr>
          <w:rFonts w:cs="Helvetica-Bold"/>
          <w:bCs/>
          <w:color w:val="1A1A1A"/>
          <w:sz w:val="24"/>
          <w:szCs w:val="24"/>
        </w:rPr>
        <w:t>élevées;</w:t>
      </w:r>
      <w:proofErr w:type="gramEnd"/>
    </w:p>
    <w:p w14:paraId="3D8A0F09" w14:textId="77777777" w:rsidR="007D38E1" w:rsidRPr="00AB5961" w:rsidRDefault="007D38E1" w:rsidP="007D38E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de prévoir avec soi des bandelettes urinaires (si le lecteur de glycémie ne fonctionne pas ou ne semble pas fiable</w:t>
      </w:r>
      <w:proofErr w:type="gramStart"/>
      <w:r w:rsidRPr="00AB5961">
        <w:rPr>
          <w:rFonts w:cs="Helvetica-Bold"/>
          <w:bCs/>
          <w:color w:val="1A1A1A"/>
          <w:sz w:val="24"/>
          <w:szCs w:val="24"/>
        </w:rPr>
        <w:t>);</w:t>
      </w:r>
      <w:proofErr w:type="gramEnd"/>
    </w:p>
    <w:p w14:paraId="746F983E" w14:textId="77777777" w:rsidR="007D38E1" w:rsidRPr="00AB5961" w:rsidRDefault="007D38E1" w:rsidP="007D38E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 xml:space="preserve">d’avoir des glucides simples en quantité pour corriger une éventuelle </w:t>
      </w:r>
      <w:proofErr w:type="gramStart"/>
      <w:r w:rsidRPr="00AB5961">
        <w:rPr>
          <w:rFonts w:cs="Helvetica-Bold"/>
          <w:bCs/>
          <w:color w:val="1A1A1A"/>
          <w:sz w:val="24"/>
          <w:szCs w:val="24"/>
        </w:rPr>
        <w:t>hypoglycémie;</w:t>
      </w:r>
      <w:proofErr w:type="gramEnd"/>
    </w:p>
    <w:p w14:paraId="783089C4" w14:textId="77777777" w:rsidR="007D38E1" w:rsidRPr="00AB5961" w:rsidRDefault="007D38E1" w:rsidP="007D38E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 xml:space="preserve">de prévenir les personnes qui vous accompagnent de votre diabète et de les informer sur ce qu’ils doivent faire en cas </w:t>
      </w:r>
      <w:proofErr w:type="gramStart"/>
      <w:r w:rsidRPr="00AB5961">
        <w:rPr>
          <w:rFonts w:cs="Helvetica-Bold"/>
          <w:bCs/>
          <w:color w:val="1A1A1A"/>
          <w:sz w:val="24"/>
          <w:szCs w:val="24"/>
        </w:rPr>
        <w:t>d’hypoglycémie;</w:t>
      </w:r>
      <w:proofErr w:type="gramEnd"/>
    </w:p>
    <w:p w14:paraId="79221F28" w14:textId="77777777" w:rsidR="007D38E1" w:rsidRPr="00AB5961" w:rsidRDefault="007D38E1" w:rsidP="007D38E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d’avoir toujours 2 kits de glucagon. En dessus de 2500m, le froid et le mal de montagne dû au manque d’oxygène peuvent rendre le contrôle du diabète plus compliqué.</w:t>
      </w:r>
    </w:p>
    <w:p w14:paraId="2D124495" w14:textId="77777777" w:rsidR="007D38E1" w:rsidRPr="00AB5961" w:rsidRDefault="007D38E1" w:rsidP="007D38E1">
      <w:pPr>
        <w:autoSpaceDE w:val="0"/>
        <w:autoSpaceDN w:val="0"/>
        <w:adjustRightInd w:val="0"/>
        <w:spacing w:after="0" w:line="240" w:lineRule="auto"/>
        <w:jc w:val="both"/>
        <w:rPr>
          <w:rFonts w:cs="Helvetica-Bold"/>
          <w:bCs/>
          <w:color w:val="1A1A1A"/>
          <w:sz w:val="24"/>
          <w:szCs w:val="24"/>
        </w:rPr>
      </w:pPr>
    </w:p>
    <w:p w14:paraId="30DDD621" w14:textId="77777777" w:rsidR="007D38E1" w:rsidRPr="00AB5961" w:rsidRDefault="007D38E1" w:rsidP="007D38E1">
      <w:pPr>
        <w:autoSpaceDE w:val="0"/>
        <w:autoSpaceDN w:val="0"/>
        <w:adjustRightInd w:val="0"/>
        <w:spacing w:after="0" w:line="240" w:lineRule="auto"/>
        <w:jc w:val="both"/>
        <w:rPr>
          <w:rFonts w:cs="Helvetica-BoldOblique"/>
          <w:b/>
          <w:bCs/>
          <w:i/>
          <w:iCs/>
          <w:color w:val="1A1A1A"/>
          <w:sz w:val="24"/>
          <w:szCs w:val="24"/>
        </w:rPr>
      </w:pPr>
      <w:r w:rsidRPr="00AB5961">
        <w:rPr>
          <w:rFonts w:cs="Helvetica-BoldOblique"/>
          <w:b/>
          <w:bCs/>
          <w:i/>
          <w:iCs/>
          <w:color w:val="1A1A1A"/>
          <w:sz w:val="24"/>
          <w:szCs w:val="24"/>
        </w:rPr>
        <w:t>Plongée</w:t>
      </w:r>
    </w:p>
    <w:p w14:paraId="496C8D33" w14:textId="77777777" w:rsidR="007D38E1" w:rsidRPr="00AB5961" w:rsidRDefault="007D38E1" w:rsidP="007D38E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La plongée sous-marine a été longtemps considérée comme le sport interdit pour les personnes atteintes de diabète de type 1. Aujourd’hui, sous certaines conditions, ce sport leur est autorisé.</w:t>
      </w:r>
    </w:p>
    <w:p w14:paraId="6471B5DE" w14:textId="77777777" w:rsidR="007D38E1" w:rsidRPr="00AB5961" w:rsidRDefault="007D38E1" w:rsidP="007D38E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Le risque principal est l’hypoglycémie et ses conséquences sous l’eau. L’eau est un élément qui demande beaucoup d'énergie au corps (adaptation à la température de l’eau, résistance au courant, stress induit par la plongée).</w:t>
      </w:r>
    </w:p>
    <w:p w14:paraId="795AE567" w14:textId="77777777" w:rsidR="007D38E1" w:rsidRPr="00AB5961" w:rsidRDefault="007D38E1" w:rsidP="007D38E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Sous l’eau, la perception du temps et la sensation de malaise peuvent être ressenties d’une manière différente.</w:t>
      </w:r>
    </w:p>
    <w:p w14:paraId="2F1FA5DE" w14:textId="77777777" w:rsidR="007D38E1" w:rsidRPr="00AB5961" w:rsidRDefault="007D38E1" w:rsidP="007D38E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Un bon équilibre du diabète est nécessaire avant d’envisager de faire de la plongée.</w:t>
      </w:r>
    </w:p>
    <w:p w14:paraId="6C2AFC74" w14:textId="77777777" w:rsidR="007D38E1" w:rsidRPr="00AB5961" w:rsidRDefault="007D38E1" w:rsidP="007D38E1">
      <w:pPr>
        <w:autoSpaceDE w:val="0"/>
        <w:autoSpaceDN w:val="0"/>
        <w:adjustRightInd w:val="0"/>
        <w:spacing w:after="0" w:line="240" w:lineRule="auto"/>
        <w:jc w:val="both"/>
        <w:rPr>
          <w:rFonts w:cs="Helvetica-Bold"/>
          <w:b/>
          <w:bCs/>
          <w:color w:val="1A1A1A"/>
          <w:sz w:val="24"/>
          <w:szCs w:val="24"/>
        </w:rPr>
      </w:pPr>
    </w:p>
    <w:p w14:paraId="4823E0EE" w14:textId="77777777" w:rsidR="007D38E1" w:rsidRPr="00AB5961" w:rsidRDefault="007D38E1" w:rsidP="007D38E1">
      <w:pPr>
        <w:autoSpaceDE w:val="0"/>
        <w:autoSpaceDN w:val="0"/>
        <w:adjustRightInd w:val="0"/>
        <w:spacing w:after="0" w:line="240" w:lineRule="auto"/>
        <w:jc w:val="both"/>
        <w:rPr>
          <w:rFonts w:cs="Helvetica-Bold"/>
          <w:b/>
          <w:bCs/>
          <w:color w:val="1A1A1A"/>
          <w:sz w:val="24"/>
          <w:szCs w:val="24"/>
        </w:rPr>
      </w:pPr>
      <w:r w:rsidRPr="00AB5961">
        <w:rPr>
          <w:rFonts w:cs="Helvetica-Bold"/>
          <w:b/>
          <w:bCs/>
          <w:color w:val="1A1A1A"/>
          <w:sz w:val="24"/>
          <w:szCs w:val="24"/>
        </w:rPr>
        <w:t xml:space="preserve">Pour pouvoir plonger il </w:t>
      </w:r>
      <w:proofErr w:type="gramStart"/>
      <w:r w:rsidRPr="00AB5961">
        <w:rPr>
          <w:rFonts w:cs="Helvetica-Bold"/>
          <w:b/>
          <w:bCs/>
          <w:color w:val="1A1A1A"/>
          <w:sz w:val="24"/>
          <w:szCs w:val="24"/>
        </w:rPr>
        <w:t>faut:</w:t>
      </w:r>
      <w:proofErr w:type="gramEnd"/>
    </w:p>
    <w:p w14:paraId="2378EECB" w14:textId="77777777" w:rsidR="007D38E1" w:rsidRPr="00AB5961" w:rsidRDefault="007D38E1" w:rsidP="007D38E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xml:space="preserve">• un bon équilibre </w:t>
      </w:r>
      <w:proofErr w:type="gramStart"/>
      <w:r w:rsidRPr="00AB5961">
        <w:rPr>
          <w:rFonts w:cs="Helvetica"/>
          <w:color w:val="1A1A1A"/>
          <w:sz w:val="24"/>
          <w:szCs w:val="24"/>
        </w:rPr>
        <w:t>glycémique;</w:t>
      </w:r>
      <w:proofErr w:type="gramEnd"/>
    </w:p>
    <w:p w14:paraId="716D9D89" w14:textId="77777777" w:rsidR="007D38E1" w:rsidRPr="00AB5961" w:rsidRDefault="007D38E1" w:rsidP="007D38E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xml:space="preserve">• pouvoir ressentir les </w:t>
      </w:r>
      <w:proofErr w:type="gramStart"/>
      <w:r w:rsidRPr="00AB5961">
        <w:rPr>
          <w:rFonts w:cs="Helvetica"/>
          <w:color w:val="1A1A1A"/>
          <w:sz w:val="24"/>
          <w:szCs w:val="24"/>
        </w:rPr>
        <w:t>hypoglycémies;</w:t>
      </w:r>
      <w:proofErr w:type="gramEnd"/>
    </w:p>
    <w:p w14:paraId="15418F07" w14:textId="77777777" w:rsidR="007D38E1" w:rsidRPr="00AB5961" w:rsidRDefault="007D38E1" w:rsidP="007D38E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xml:space="preserve">• ne pas avoir eu de décompensation acidocétosique durant </w:t>
      </w:r>
      <w:proofErr w:type="gramStart"/>
      <w:r w:rsidRPr="00AB5961">
        <w:rPr>
          <w:rFonts w:cs="Helvetica"/>
          <w:color w:val="1A1A1A"/>
          <w:sz w:val="24"/>
          <w:szCs w:val="24"/>
        </w:rPr>
        <w:t>l’année;</w:t>
      </w:r>
      <w:proofErr w:type="gramEnd"/>
    </w:p>
    <w:p w14:paraId="0F18B592" w14:textId="77777777" w:rsidR="007D38E1" w:rsidRPr="00AB5961" w:rsidRDefault="007D38E1" w:rsidP="007D38E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xml:space="preserve">• avoir 18 </w:t>
      </w:r>
      <w:proofErr w:type="gramStart"/>
      <w:r w:rsidRPr="00AB5961">
        <w:rPr>
          <w:rFonts w:cs="Helvetica"/>
          <w:color w:val="1A1A1A"/>
          <w:sz w:val="24"/>
          <w:szCs w:val="24"/>
        </w:rPr>
        <w:t>ans;</w:t>
      </w:r>
      <w:proofErr w:type="gramEnd"/>
    </w:p>
    <w:p w14:paraId="41FA5417" w14:textId="77777777" w:rsidR="007D38E1" w:rsidRPr="00AB5961" w:rsidRDefault="007D38E1" w:rsidP="007D38E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xml:space="preserve">• bien connaître la maladie et comprendre les implications d’une telle </w:t>
      </w:r>
      <w:proofErr w:type="gramStart"/>
      <w:r w:rsidRPr="00AB5961">
        <w:rPr>
          <w:rFonts w:cs="Helvetica"/>
          <w:color w:val="1A1A1A"/>
          <w:sz w:val="24"/>
          <w:szCs w:val="24"/>
        </w:rPr>
        <w:t>activité;</w:t>
      </w:r>
      <w:proofErr w:type="gramEnd"/>
    </w:p>
    <w:p w14:paraId="3B78DD15" w14:textId="77777777" w:rsidR="007D38E1" w:rsidRPr="00AB5961" w:rsidRDefault="007D38E1" w:rsidP="007D38E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faire une glycémie avant de plonger.</w:t>
      </w:r>
    </w:p>
    <w:p w14:paraId="26C64998" w14:textId="77777777" w:rsidR="007D38E1" w:rsidRPr="00AB5961" w:rsidRDefault="007D38E1" w:rsidP="007D38E1">
      <w:pPr>
        <w:autoSpaceDE w:val="0"/>
        <w:autoSpaceDN w:val="0"/>
        <w:adjustRightInd w:val="0"/>
        <w:spacing w:after="0" w:line="240" w:lineRule="auto"/>
        <w:jc w:val="both"/>
        <w:rPr>
          <w:rFonts w:cs="Helvetica"/>
          <w:color w:val="1A1A1A"/>
          <w:sz w:val="24"/>
          <w:szCs w:val="24"/>
        </w:rPr>
      </w:pPr>
    </w:p>
    <w:p w14:paraId="4F2E17E4" w14:textId="77777777" w:rsidR="00B11367" w:rsidRDefault="00B11367"/>
    <w:sectPr w:rsidR="00B11367" w:rsidSect="00904D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0000000000000000000"/>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ucidaGrande-Bold">
    <w:altName w:val="MS Gothic"/>
    <w:panose1 w:val="020B07000405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E1"/>
    <w:rsid w:val="007D38E1"/>
    <w:rsid w:val="00904DFB"/>
    <w:rsid w:val="00B11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175119"/>
  <w15:chartTrackingRefBased/>
  <w15:docId w15:val="{617BC77E-F0E2-924E-8C2A-5887217B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E1"/>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7D38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7D38E1"/>
    <w:rPr>
      <w:i/>
      <w:i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Thivolet</dc:creator>
  <cp:keywords/>
  <dc:description/>
  <cp:lastModifiedBy>Charles Thivolet</cp:lastModifiedBy>
  <cp:revision>1</cp:revision>
  <dcterms:created xsi:type="dcterms:W3CDTF">2021-06-27T18:23:00Z</dcterms:created>
  <dcterms:modified xsi:type="dcterms:W3CDTF">2021-06-27T18:23:00Z</dcterms:modified>
</cp:coreProperties>
</file>